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3F5D0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D43DE8" w:rsidRPr="00770C3D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547D51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547D5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D43DE8" w:rsidRDefault="00D43DE8" w:rsidP="00D43D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B8648F" w:rsidRDefault="00D43DE8" w:rsidP="00B864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DE8" w:rsidRPr="00770C3D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7D51">
              <w:rPr>
                <w:rFonts w:ascii="Times New Roman" w:hAnsi="Times New Roman" w:cs="Times New Roman"/>
              </w:rPr>
              <w:t xml:space="preserve">tablica interaktywna bez projektora </w:t>
            </w:r>
            <w:proofErr w:type="spellStart"/>
            <w:r w:rsidRPr="00547D51">
              <w:rPr>
                <w:rFonts w:ascii="Times New Roman" w:hAnsi="Times New Roman" w:cs="Times New Roman"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17CD1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7D51">
              <w:rPr>
                <w:rFonts w:ascii="Times New Roman" w:hAnsi="Times New Roman" w:cs="Times New Roman"/>
              </w:rPr>
              <w:t xml:space="preserve">projektor </w:t>
            </w:r>
            <w:bookmarkStart w:id="0" w:name="_GoBack"/>
            <w:bookmarkEnd w:id="0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3F5D0B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3F5D0B" w:rsidP="003F5D0B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47D51" w:rsidRPr="00B8648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547D51" w:rsidRPr="00B8648F">
              <w:rPr>
                <w:rFonts w:ascii="Times New Roman" w:hAnsi="Times New Roman" w:cs="Times New Roman"/>
              </w:rPr>
              <w:t>00,00 zł</w:t>
            </w: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3F5D0B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3F5D0B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3F5D0B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5D0B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3F5D0B" w:rsidP="00E17CD1">
            <w:pPr>
              <w:spacing w:after="0"/>
              <w:jc w:val="center"/>
            </w:pPr>
            <w:r>
              <w:t>1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3F5D0B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8 000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3F5D0B"/>
    <w:rsid w:val="00415AA7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7E4880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762A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C822-60C4-495E-89AB-0647E103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2019-02-21T14:46:00Z</dcterms:created>
  <dcterms:modified xsi:type="dcterms:W3CDTF">2019-02-21T14:46:00Z</dcterms:modified>
</cp:coreProperties>
</file>